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78C2" w14:textId="77777777" w:rsidR="00DD3FE0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bookmarkStart w:id="0" w:name="_GoBack"/>
      <w:bookmarkEnd w:id="0"/>
      <w:r>
        <w:t>The Queensland Climate Transition Strategy (QCTS) and Queensland Climate Adaptation Strategy (Q-CAS) have been developed to help create an innovative and resilient Queensland that addresses the risks and harnesses the opportunities of a changing climate and changing global</w:t>
      </w:r>
      <w:r>
        <w:rPr>
          <w:spacing w:val="-14"/>
        </w:rPr>
        <w:t xml:space="preserve"> </w:t>
      </w:r>
      <w:r>
        <w:t>economy.</w:t>
      </w:r>
    </w:p>
    <w:p w14:paraId="61704B71" w14:textId="597991C2" w:rsidR="00DD3FE0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>
        <w:t>On 4 November 2016, the Paris Agreement to limit global warming to below two degrees Celsius (2°C) above pre-industrial times, and as close to 1.5°C as possible, came into force. To date, 1</w:t>
      </w:r>
      <w:r w:rsidR="00E52AC2">
        <w:t>60</w:t>
      </w:r>
      <w:r>
        <w:t xml:space="preserve"> countries have ratified the Paris Agreement, including Australia and many of Queensland’s key trading partners such as South Korea, China, Japan and India.</w:t>
      </w:r>
    </w:p>
    <w:p w14:paraId="3EC7612A" w14:textId="33D0E61C" w:rsidR="00DD3FE0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>
        <w:t xml:space="preserve">In March 2016 the Queensland Government commenced a work program to be implemented across Government. That work has been largely completed and continues to be delivered through: the Queensland Government’s response to the Renewable Energy Expert Panel Final Report, Credible pathways to a 50% renewable energy target for Queensland; the Queensland Building Plan Discussion Paper released in November 2016; the proposed Queensland Electric Vehicle Strategy; the Million solar rooftops / 3000 </w:t>
      </w:r>
      <w:r>
        <w:rPr>
          <w:spacing w:val="-4"/>
        </w:rPr>
        <w:t xml:space="preserve">MW </w:t>
      </w:r>
      <w:r>
        <w:t>of solar by 2020 target; and the solar schools</w:t>
      </w:r>
      <w:r>
        <w:rPr>
          <w:spacing w:val="-7"/>
        </w:rPr>
        <w:t xml:space="preserve"> </w:t>
      </w:r>
      <w:r>
        <w:t>program.</w:t>
      </w:r>
    </w:p>
    <w:p w14:paraId="70B844C6" w14:textId="70189DD4" w:rsidR="00DD3FE0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>
        <w:t xml:space="preserve">The strategies are informed by extensive public and stakeholder consultation. In May 2016, the Queensland Government released a discussion paper </w:t>
      </w:r>
      <w:r>
        <w:rPr>
          <w:i/>
        </w:rPr>
        <w:t>Advancing Climate Action in Queensland: Making the transition to a low carbon future</w:t>
      </w:r>
      <w:r>
        <w:t xml:space="preserve">. Over four months of consultation resulted in around 6000 submissions received. The headline messages included support for: starting the transition now; renewable energy; government leadership; and community-led action. In October 2016 the Queensland Government released the </w:t>
      </w:r>
      <w:r>
        <w:rPr>
          <w:i/>
        </w:rPr>
        <w:t xml:space="preserve">Queensland Climate Adaptation Directions Statement </w:t>
      </w:r>
      <w:r>
        <w:t>for public consultation, receiving around 300 responses. The Q-CAS was also developed in close consultation with the Q-CAS Partners group, comprised of 29 representatives of local governments, business, industry and community</w:t>
      </w:r>
      <w:r>
        <w:rPr>
          <w:spacing w:val="-16"/>
        </w:rPr>
        <w:t xml:space="preserve"> </w:t>
      </w:r>
      <w:r>
        <w:t>groups.</w:t>
      </w:r>
    </w:p>
    <w:p w14:paraId="11F0F8A9" w14:textId="07E81D3F" w:rsidR="00BB12A7" w:rsidRPr="00A10E84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  <w:rPr>
          <w:u w:val="single"/>
        </w:rPr>
      </w:pPr>
      <w:r w:rsidRPr="00A10E84">
        <w:rPr>
          <w:u w:val="single"/>
        </w:rPr>
        <w:t>Cabinet endorse</w:t>
      </w:r>
      <w:r w:rsidR="00BB12A7" w:rsidRPr="00A10E84">
        <w:rPr>
          <w:u w:val="single"/>
        </w:rPr>
        <w:t>d</w:t>
      </w:r>
      <w:r w:rsidRPr="00EB2433">
        <w:t xml:space="preserve"> </w:t>
      </w:r>
      <w:r w:rsidR="00BB12A7" w:rsidRPr="00EB2433">
        <w:t>a target of zero net emissions by 2050 for Queensland consistent with targets adopted by New South Wales, Victoria, South Australia</w:t>
      </w:r>
      <w:r w:rsidR="00E52AC2">
        <w:t>, Tasmania</w:t>
      </w:r>
      <w:r w:rsidR="00BB12A7" w:rsidRPr="00EB2433">
        <w:t xml:space="preserve"> and the Australian Capital Territory and the objective of the Paris Agreement to limit global warming to well below two degrees</w:t>
      </w:r>
      <w:r w:rsidR="00406EDF" w:rsidRPr="00EB2433">
        <w:t>, which Australia has ratified</w:t>
      </w:r>
      <w:r w:rsidR="00BB12A7" w:rsidRPr="00EB2433">
        <w:t>.</w:t>
      </w:r>
    </w:p>
    <w:p w14:paraId="21444D29" w14:textId="77777777" w:rsidR="00C633D7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 w:rsidRPr="00A10E84">
        <w:rPr>
          <w:u w:val="single"/>
        </w:rPr>
        <w:t>Cabinet endorsed</w:t>
      </w:r>
      <w:r w:rsidRPr="00A63920">
        <w:t xml:space="preserve"> an</w:t>
      </w:r>
      <w:r w:rsidRPr="00C633D7">
        <w:t xml:space="preserve"> interim emissions reduction target for Queensland of at least 30% below 2005 levels by 2030, conditional on continued global and national action to meet the goals of the Paris Agreement</w:t>
      </w:r>
      <w:r>
        <w:t>.</w:t>
      </w:r>
    </w:p>
    <w:p w14:paraId="3F73AD88" w14:textId="37A93734" w:rsidR="00C633D7" w:rsidRPr="00C633D7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 w:rsidRPr="00A10E84">
        <w:rPr>
          <w:u w:val="single"/>
        </w:rPr>
        <w:t>Cabinet approved</w:t>
      </w:r>
      <w:r>
        <w:t xml:space="preserve"> </w:t>
      </w:r>
      <w:r w:rsidRPr="00C633D7">
        <w:t>the Queensland Government signing the Under2MOU which is a coalition of subnational governments who have set targets of cutting carbon pollution by at leas</w:t>
      </w:r>
      <w:r w:rsidR="009C08E6">
        <w:t>t 80% below 1990 levels by 2050.</w:t>
      </w:r>
    </w:p>
    <w:p w14:paraId="30DB2209" w14:textId="1412E466" w:rsidR="00DD3FE0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0" w:hanging="425"/>
      </w:pPr>
      <w:r w:rsidRPr="00A10E84">
        <w:rPr>
          <w:u w:val="single"/>
        </w:rPr>
        <w:t>Cabinet approved</w:t>
      </w:r>
      <w:r w:rsidRPr="00A63920">
        <w:t xml:space="preserve"> th</w:t>
      </w:r>
      <w:r>
        <w:t>e Queensland Climate Transition Strategy and Queensland Climate Adaptation Strategy for public release.</w:t>
      </w:r>
    </w:p>
    <w:p w14:paraId="0883CFEE" w14:textId="77777777" w:rsidR="00C633D7" w:rsidRPr="00A10E84" w:rsidRDefault="00C633D7" w:rsidP="00DC0A4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0" w:hanging="425"/>
        <w:rPr>
          <w:u w:val="single"/>
        </w:rPr>
      </w:pPr>
      <w:r w:rsidRPr="00A10E84">
        <w:rPr>
          <w:i/>
          <w:u w:val="single"/>
        </w:rPr>
        <w:t>Attachments</w:t>
      </w:r>
    </w:p>
    <w:p w14:paraId="43CCA10C" w14:textId="532E5033" w:rsidR="00C633D7" w:rsidRDefault="008451FB" w:rsidP="00170536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936" w:right="0" w:hanging="426"/>
      </w:pPr>
      <w:hyperlink r:id="rId7" w:history="1">
        <w:r w:rsidR="007C3153" w:rsidRPr="00170536">
          <w:rPr>
            <w:rStyle w:val="Hyperlink"/>
          </w:rPr>
          <w:t>Queensland Climate Transition Strategy</w:t>
        </w:r>
      </w:hyperlink>
    </w:p>
    <w:p w14:paraId="46F94E2A" w14:textId="54B041D5" w:rsidR="007C3153" w:rsidRPr="003B5466" w:rsidRDefault="008451FB" w:rsidP="00170536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936" w:right="0" w:hanging="426"/>
      </w:pPr>
      <w:hyperlink r:id="rId8" w:history="1">
        <w:r w:rsidR="007C3153" w:rsidRPr="00170536">
          <w:rPr>
            <w:rStyle w:val="Hyperlink"/>
          </w:rPr>
          <w:t>Queensland Climate Adaptation Strategy</w:t>
        </w:r>
      </w:hyperlink>
    </w:p>
    <w:sectPr w:rsidR="007C3153" w:rsidRPr="003B5466" w:rsidSect="006632CD">
      <w:headerReference w:type="default" r:id="rId9"/>
      <w:pgSz w:w="11910" w:h="16840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713C" w14:textId="77777777" w:rsidR="00C706BD" w:rsidRDefault="00C706BD" w:rsidP="003B5466">
      <w:r>
        <w:separator/>
      </w:r>
    </w:p>
  </w:endnote>
  <w:endnote w:type="continuationSeparator" w:id="0">
    <w:p w14:paraId="33432A92" w14:textId="77777777" w:rsidR="00C706BD" w:rsidRDefault="00C706BD" w:rsidP="003B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438B" w14:textId="77777777" w:rsidR="00C706BD" w:rsidRDefault="00C706BD" w:rsidP="003B5466">
      <w:r>
        <w:separator/>
      </w:r>
    </w:p>
  </w:footnote>
  <w:footnote w:type="continuationSeparator" w:id="0">
    <w:p w14:paraId="1095BEEF" w14:textId="77777777" w:rsidR="00C706BD" w:rsidRDefault="00C706BD" w:rsidP="003B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00BC" w14:textId="77777777" w:rsidR="006632CD" w:rsidRPr="00937A4A" w:rsidRDefault="006632CD" w:rsidP="006632C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19928E7" w14:textId="77777777" w:rsidR="006632CD" w:rsidRPr="00937A4A" w:rsidRDefault="006632CD" w:rsidP="006632C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BC30275" w14:textId="7E4051CE" w:rsidR="006632CD" w:rsidRPr="00937A4A" w:rsidRDefault="006632CD" w:rsidP="006632C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June 2017</w:t>
    </w:r>
  </w:p>
  <w:p w14:paraId="7342027D" w14:textId="723019ED" w:rsidR="006632CD" w:rsidRDefault="006632CD" w:rsidP="006632CD">
    <w:pPr>
      <w:pStyle w:val="Header"/>
      <w:spacing w:before="120"/>
      <w:rPr>
        <w:b/>
        <w:u w:val="single"/>
      </w:rPr>
    </w:pPr>
    <w:r>
      <w:rPr>
        <w:b/>
        <w:u w:val="single"/>
      </w:rPr>
      <w:t>Queensland Climate Change Response</w:t>
    </w:r>
  </w:p>
  <w:p w14:paraId="46667A42" w14:textId="3A5F9EFF" w:rsidR="006632CD" w:rsidRDefault="006632CD" w:rsidP="006632CD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Heritage Protection and Minister for National Parks and the Great Barrier Reef</w:t>
    </w:r>
  </w:p>
  <w:p w14:paraId="646D11C3" w14:textId="77777777" w:rsidR="006632CD" w:rsidRDefault="006632CD" w:rsidP="006632C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76C"/>
    <w:multiLevelType w:val="hybridMultilevel"/>
    <w:tmpl w:val="24ECF0EA"/>
    <w:lvl w:ilvl="0" w:tplc="0C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5580551D"/>
    <w:multiLevelType w:val="hybridMultilevel"/>
    <w:tmpl w:val="0DB67ABC"/>
    <w:lvl w:ilvl="0" w:tplc="F4DC1F3A">
      <w:start w:val="1"/>
      <w:numFmt w:val="decimal"/>
      <w:lvlText w:val="%1."/>
      <w:lvlJc w:val="left"/>
      <w:pPr>
        <w:ind w:left="627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BC6DD1C"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4CE03D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C402B72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26F605DC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4390521C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10C1E14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34528EC2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1D72EA8C">
      <w:numFmt w:val="bullet"/>
      <w:lvlText w:val="•"/>
      <w:lvlJc w:val="left"/>
      <w:pPr>
        <w:ind w:left="792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0"/>
    <w:rsid w:val="00170536"/>
    <w:rsid w:val="003B5466"/>
    <w:rsid w:val="00406EDF"/>
    <w:rsid w:val="00572F37"/>
    <w:rsid w:val="006632CD"/>
    <w:rsid w:val="006865D3"/>
    <w:rsid w:val="007C3153"/>
    <w:rsid w:val="008451FB"/>
    <w:rsid w:val="009C08E6"/>
    <w:rsid w:val="00A10E84"/>
    <w:rsid w:val="00A63920"/>
    <w:rsid w:val="00BB12A7"/>
    <w:rsid w:val="00C633D7"/>
    <w:rsid w:val="00C706BD"/>
    <w:rsid w:val="00DC0A4F"/>
    <w:rsid w:val="00DD3FE0"/>
    <w:rsid w:val="00E52AC2"/>
    <w:rsid w:val="00E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B4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35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6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27" w:right="3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B1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A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5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6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0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daptationStrategy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Transition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430</Words>
  <Characters>2513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Manager/>
  <Company/>
  <LinksUpToDate>false</LinksUpToDate>
  <CharactersWithSpaces>2934</CharactersWithSpaces>
  <SharedDoc>false</SharedDoc>
  <HyperlinkBase>https://www.cabinet.qld.gov.au/documents/2017/Jun/ClimChg/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dcterms:created xsi:type="dcterms:W3CDTF">2017-09-12T05:45:00Z</dcterms:created>
  <dcterms:modified xsi:type="dcterms:W3CDTF">2018-06-14T05:03:00Z</dcterms:modified>
  <cp:category>Climate_Change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2017-05-18T00:00:00Z</vt:filetime>
  </property>
</Properties>
</file>